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39 vom 22. Januar 2024</w:t>
      </w:r>
    </w:p>
    <w:p>
      <w:r>
        <w:t>VS Kantonsgericht, 2024-01-22, FR</w:t>
      </w:r>
    </w:p>
    <w:p>
      <w:r>
        <w:rPr>
          <w:b/>
        </w:rPr>
        <w:t xml:space="preserve">Quelle: </w:t>
      </w:r>
      <w:r>
        <w:t>https://mcp.opencaselaw.ch/entscheid/vs_gerichte_F1 24 39</w:t>
      </w:r>
    </w:p>
    <w:p>
      <w:r>
        <w:t>FR: VS_GERICHTE F1 24 39 du 22 janvier 2024</w:t>
      </w:r>
    </w:p>
    <w:p>
      <w:r>
        <w:t>IT: VS_GERICHTE F1 24 39 del 22 gennaio 2024</w:t>
      </w:r>
    </w:p>
    <w:p>
      <w:pPr>
        <w:pStyle w:val="Heading2"/>
      </w:pPr>
      <w:r>
        <w:t>Regeste</w:t>
      </w:r>
    </w:p>
    <w:p>
      <w:r>
        <w:t>F1 24 39 (CCR 2022/57) ARRÊT DU 22 JANVIER 2024 Tribunal cantonal du Valais Cour de droit fiscal Composition : Frédéric Fellay, président, Dr Thierry Schnyder, juge, et Philippe Imboden, juge assesseur ; Julia Kamhi, greffière, en la cause X _________ et Y _________, recourants, faisant élection de domicile auprès de Z _________ SA, représentés par Maître Dominique Morand, avocat, 1951 Sion contre COMMISSION CANTONALE D'IMPÔTS DES PERSONNES PHYSIQUES, autorité attaquée (Impôt fédéral direct et impôts cantonaux et communaux, période fiscale 2019) recours contre la décision du 28 octobre 2022</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du 2 décembre 2022,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des recourants est ainsi satisfaite.</w:t>
      </w:r>
    </w:p>
    <w:p>
      <w:r>
        <w:t>- 6 - II. Impôt fédéral direct</w:t>
      </w:r>
    </w:p>
    <w:p>
      <w:r>
        <w:rPr>
          <w:b/>
        </w:rPr>
        <w:t>E. 2</w:t>
      </w:r>
    </w:p>
    <w:p>
      <w:r>
        <w:t>Dans un grief invoqué à titre subsidiaire, mais qu’il convient d’examiner au préalable, la recourante conteste être assujettie à l’impôt en Suisse en vertu de l’art. 4 LIFD s’agissant de la vente des actions H _________ SA.</w:t>
      </w:r>
    </w:p>
    <w:p>
      <w:r>
        <w:rPr>
          <w:b/>
        </w:rPr>
        <w:t>E. 2.1</w:t>
      </w:r>
    </w:p>
    <w:p>
      <w:r>
        <w:t>L’art. 4 al. 1 let. a LIFD dispose que les personnes physiques qui, au regard du droit fiscal, ne sont ni domiciliées ni en séjour en Suisse sont assujetties à l'impôt à raison du rattachement économique lorsqu'elles sont propriétaires ou usufruitières d'une entreprise en Suisse ou y sont intéressées comme associées. La notion d'entreprise, qui n'est pas définie dans la LIFD, n'est pas juridique mais économique. Elle comprend ainsi une participation active, reconnaissable pour des tiers, à la vie économique, en utilisant capital et travail (arrêt du Tribunal fédéral 2C_888/2014 et 2C_889/2014 du 7 juin 2015 consid. 4.2 et les références). Par entreprise, il faut en général entendre des entreprises commerciales, artisanales, industrielles ou agricoles exploitées par le contribuable à titre individuel ou comme associé d’une société de personnes, p. ex. une société en nom collectif (PASCHOUD/DE VRIELS REILINGH, in : NOËL/AUBRY GIRARDIN (édit.), Commentaire romand, Impôt fédéral direct, 2ème éd. 2017, n° 12 ad art. 4 LIFD). Une société en nom collectif inscrite au registre du commerce ne peut qu’exercer une activité commerciale, de sorte qu’il s'agit d’une entreprise au sens de l’art. 4 al. 1 let. a LIFD (cf. arrêt du Tribunal fédéral 2C_888/2014 et 2C_889/2014 précité consid. 4.3). Les associés d’une telle société domiciliés à l’étranger sont assujettis à l’impôt en Suisse pour leur part aux éléments imposables de l’entreprise (cf. arrêt du Tribunal fédéral 2C_888/2014 et 2C_889/2014 précité consid. 4.3 ; PASCHOUD/DE VRIELS REILINGH, op. cit., n° 24 ad art.</w:t>
      </w:r>
    </w:p>
    <w:p>
      <w:r>
        <w:rPr>
          <w:b/>
        </w:rPr>
        <w:t>E. 2.2</w:t>
      </w:r>
    </w:p>
    <w:p>
      <w:r>
        <w:t>En l’espèce, la SNC E _________, qui a son siège à Sion, est inscrite au registre du commerce du Valais central. Elle constitue donc une entreprise au sens de la disposition précitée. La recourante, domiciliée à l’étranger, est associée indéfiniment responsable de la SNC. Elle est donc assujettie à l’impôt en Suisse de manière limitée, pour sa part aux éléments de fortune de la société. La recourante argue que la SNC doit être qualifiée de « société de personnes de gestion du patrimoine privé » et non de société commerciale, car elle n’exercerait pas d’activité lucrative en Suisse. Cet argument est toutefois sans pertinence s’agissant de l’assujettissement fiscal de la recourante. En effet, dans la mesure où la SNC était inscrite au registre du commerce au moment de la vente des actions, les conditions de l’art. 4 al. 1 let. a LIFD étaient remplies sans qu’il soit nécessaire d’examiner si elle a effectivement exercé une activité économique pendant la période fiscale en question (cf. arrêt du Tribunal fédéral 2C_888/2014 et</w:t>
      </w:r>
    </w:p>
    <w:p>
      <w:r>
        <w:t>- 7 - 2C_889/2014 précité consid. 4.3). Pour le reste, comme on le verra ci-dessous, il doit de toute manière être admis que la SNC exerçait une activité commerciale de par la location de l’hôtel B _________ à H _________ SA, notamment en raison du lien étroit entre son but et celui de la SA et du fait que la recourante et ses frères contrôlaient totalement les deux entités (cf. infra consid. 3.6.2). Partant, le grief tiré d’une violation de l’art. 4 LIFD doit être rejeté. 3. Dans un second grief, la recourante conteste la qualification fiscale du gain réalisé par la vente de l’immeuble sis à D _________ et des actions H _________ SA, faisant valoir qu’il s’agit de gains privés en capital au sens de l’art. 16 al. 3 LIFD, non imposables sur le revenu. 3.1 L’art.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ainsi que la règle selon laquelle tous les revenus du contribuable sont en principe imposables (ATF 143 II 402 consid. 5.1 ; arrêt du Tribunal fédéral 9C_81/2023 du 18 septembre 2023 consid. 5.1), y compris les bénéfices en capital provenant de l'aliénation, de la réalisation ou de la réévaluation comptable d'éléments de la fortune commerciale (art. 18 al. 2 LIFD). Selon l'art. 16 al. 3 LIFD,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(ATF 133 II 420 consid. 3.1 ; arrêt du Tribunal fédéral 9C_81/2023 précité consid. 5.1). Lorsqu’il est question du revenu d’une société en nom collectif, chacun des associés ajoute sa part à ses propres éléments imposables (art. 10 al. 1 LIFD). 3.2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 du Tribunal fédéral 9C_81/2023 précité consid. 5.2 et les références). En revanche, si l'activité du contribuable excède ce cadre relativement étroit et est orientée dans son</w:t>
      </w:r>
    </w:p>
    <w:p>
      <w:r>
        <w:t>- 8 -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ponctuelle (ibidem).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(ATF 125 II 113 consid. 6a ; arrêt du Tribunal fédéral 9C_81/2023 précité consid. 5.2). Chacun de ces indices peut conduire, en concours avec les autres voire – exceptionnellement – isolément s'il revêt une intensité particulière, à la reconnaissance d'une activité lucrative indépendante (arrêt du Tribunal fédéral 9C_81/2023 précité consid. 5.2 et les références). Le traitement comptable d’un bien est également un indice important. Ainsi, le fait qu’un immeuble soit inscrit au bilan d’une entreprise est un indice de son caractère commercial (NOËL, in : NOËL/AUBRY GIRARDIN (édit.), Commentaire romand, Impôt fédéral direct, 2ème éd. 2017, n° 71 ad art. 18 LIFD ; OBERSON, Droit fiscal suisse, 5ème éd. 2021, § 7 n° 57). 3.3 Une société en nom collectif est présumée poursuivre un but lucratif (arrêt du Tribunal fédéral 2C_417/2012 et 2C_418/2012 du 2 novembre 2012 consid. 5.1). Cette présomption a pour conséquence, en droit fiscal, qu’elle ne peut avoir que des actifs commerciaux. Ainsi, dans les sociétés de personnes soumises à l'obligation de tenir une comptabilité, la distinction entre fortune privée et fortune commerciale n'existe pas ; elles ne possèdent qu'un seul patrimoine social, qui est la fortune commerciale (arrêts du Tribunal fédéral 2C_417/2012 et 2C_418/2012 précité consid. 4.3, 2C_6/2008 du 27 janvier 2009 consid. 3.1.1 ; NOËL, op. cit., n° 75 ad art. 18 LIFD). Le Tribunal fédéral a considéré qu’une telle présomption était renforcée s’agissant d’une société en nom</w:t>
      </w:r>
    </w:p>
    <w:p>
      <w:r>
        <w:t>- 9 - collectif qui louait un hôtel et avait procédé à des amortissements sur celui-ci, continuant ainsi à classer elle-même l'immeuble comme fortune commerciale (arrêt du Tribunal fédéral 2C_6/2008 précité consid. 3.1.1). La part des associés dans la société de personnes fait en principe partie de leur fortune commerciale. La référence à la comptabilité de la société joue dans ce cas un rôle plus important que les autres indices précités ; les associés d’une société de personnes n’inscrivent en principe dans les livres comptables de celle-ci que les éléments de fortune qui doivent effectivement servir au commerce qu’ils exploitent en commun (NOËL, op. cit., n° 75 ad art. 18 LIFD et les références). Les sociétés de personnes ne sont par ailleurs pas autorisées à porter à leur bilan la fortune privée de leurs associés (ibidem). 3.4 En ce qui concerne les droits de participation, ceux-ci ressortissent à la fortune commerciale lorsqu'il existe un rapport économique étroit entre la participation à la société anonyme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(arrêt du Tribunal fédéral 2C_423/2019 du 25 novembre 2019 consid. 4.1). 3.5 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en cause dans sa fortune privée (ATF 125 précité consid. 6c ; arrêt du Tribunal fédéral 2C_851/2015 et 2C_852/2015 du 3 juin 2016 consid. 4.2). Les immeubles faisant partie de la fortune commerciale d'un défunt sont transférés dans la fortune privée de ses héritiers lorsque ceux-ci expriment leur volonté en ce sens vis-à-vis des autorités fiscales. Ce n'est qu'au moment où ils décident d’un tel transfert ou de l'aliénation que le bénéfice en capital en provenant constitue un revenu imposable au sens de l'art. 18 al. 2 LIFD. Ce système d'imposition permet aux héritiers de décider du moment de l’imposition du bénéfice en capital (arrêt du Tribunal fédéral 2C_977/2013 du 1er mai 2014 consid. 3.1 et les références). Une fois qu'il a été établi qu'un actif appartenait à la fortune commerciale, la preuve de son transfert à la fortune privée incombe au contribuable (arrêt du Tribunal fédéral 2C_417/2012 et 2C_418/2012 du 2 novembre 2012 consid. 4.3 et les références).</w:t>
      </w:r>
    </w:p>
    <w:p>
      <w:r>
        <w:t>- 10 - 3.6 3.6.1 En l’espèce, l’autorité intimée a retenu que l’immeuble sis à D _________ faisait partie de la fortune commerciale des aïeux de la recourante, qui louaient l’hôtel B _________ à des exploitants par le biais de la SNC E _________ depuis 1924. La recourante n’est pas parvenue à apporter la preuve contraire, se contentant d’alléguer qu’il subsistait un doute à cet égard, car l’hôtel avait été bâti en 1896 alors que la SNC n’avait été constituée qu’en 1924. L’on ne voit toutefois pas pour quel motif cet élément suffirait à remettre en cause le caractère commercial de l’immeuble. Il doit donc être présumé que celui-ci appartenait également à la fortune commerciale de la recourante au moment où elle en a hérité avec ses frères, en 1996. Or, celle-ci n’est non plus pas parvenue à renverser cette présomption. En effet, la recourante n’a pas allégué avoir manifesté vis-à-vis des autorités fiscales sa volonté de transférer l’immeuble dans sa fortune privée au moment où elle en est devenue propriétaire. Un tel transfert n’a non plus pas eu lieu ultérieurement, en particulier lorsque la recourante et ses frères ont transféré l’exploitation de l’hôtel à la SA constituée en 2006, ce que la recourante a elle- même reconnu (cf. page 8 du recours). Si tel avait été le cas, le bénéfice en capital aurait de toute manière été imposé à ce moment-là en vertu de l’art. 18 al. 2 LIFD, comme on l’a vu plus haut (cf. supra consid. 3.5). Le caractère commercial de l’immeuble est au demeurant confirmé par le fait que la recourante et ses frères avaient fait inscrire ce bien au bilan de la SNC E _________, dont ils sont les associés. Si cet immeuble avait fait partie de leur fortune privée, sa comptabilisation aurait au demeurant été contraire au droit, comme relevé précédemment (cf. supra consid. 3.3). L’hôtel avait au surplus fait l’objet d’amortissements durant au moins deux années consécutives, en 2012 et 2013. L’existence de ces opérations renforce encore son caractère commercial. En effet, comme l’a souligné l’autorité précédente, seuls les éléments de la fortune commerciale peuvent faire l’objet d’amortissements (cf. art. 28 al. 1 LIFD), à l’exclusion des biens rattachés à la fortune privée (cf. art. 32 LIFD a contrario ; NOËL, op. cit., n° 66 ad art. 18 LIFD). La recourante argue encore que l’immeuble n’était pas juridiquement propriété de la SNC au moment de la vente, mais de l’hoirie de feue sa mère – composée d’elle- même et de son frère F _________ A _________. Cet élément n’est toutefois pas déterminant pour la question litigieuse. En effet, un immeuble propriété des associés d’une SNC peut être rangé dans leur fortune commerciale même s’il n’est pas inscrit au registre foncier au nom de la SNC, lorsque, au vu de l’ensemble des circonstances, l’entreprise est économiquement en mesure d’en disposer (NOËL, op. cit., n° 75 ad art. 18 LIFD). Or, il est établi que la SNC louait l’hôtel B _________ depuis 1924, ce qui</w:t>
      </w:r>
    </w:p>
    <w:p>
      <w:r>
        <w:t>- 11 - constituait son activité principale. En outre, la recourante et ses frères étaient les seuls associés de la SNC, de sorte que cette dernière était totalement en mesure de disposer économiquement de l’immeuble. Cela est d’ailleurs renforcé par le fait qu’elle l’avait inscrit à l’actif de son bilan. L’on relèvera encore que le but social de la SNC selon son inscription au registre du commerce est l’exploitation d’hôtels, soit une activité commerciale. Le fait qu’elle se limitait en l’occurrence à encaisser un loyer de la part de H _________ SA ou, à l’origine, d’entreprises individuelles, n’y change rien, comme on l’a vu plus haut (cf. supra consid. 3.3). Au demeurant, la SNC fonctionnait déjà de la sorte depuis sa constitution en 1924, ce qui n’a nullement affecté le caractère commercial de l’immeuble dans la fortune des aïeux de la recourante. Il ne fait ainsi aucun doute que l’hôtel B _________ était exploité à titre commercial. La recourante fait également valoir que si la SNC avait eu une activité commerciale, il n’aurait pas été nécessaire ni judicieux de constituer une activité indépendante séparée. L’on ne voit toutefois pas en quoi cette constellation, qui a notamment conduit à créer une forme de location à soi-même, comme l’a observé l’autorité précédente, permettrait de remettre en cause le caractère commercial de l’immeuble. Partant, c’est à bon droit que l’autorité intimée a soumis le gain réalisé lors de la vente de la parcelle à l’impôt sur le revenu en application de l’art. 18 al. 2 LIFD. 3.6.2 Les considérations qui précèdent doivent également s’appliquer à la vente des actions H _________ SA. En effet, il est établi que la SNC détenait 97% du capital- actions de cette société, qu’elle avait fait porter à son bilan. Cet élément à lui seul conduit à présumer le caractère commercial de ces titres, comme on l’a vu plus haut (cf. supra consid. 3.3). La recourante argue que la SNC n’avait pas d’activité commerciale au moment de la constitution de la société anonyme, car elle se contentait de louer le bien immobilier. Or, comme l’a relevé l’autorité inférieure, l’activité de la SA se confondait avec le but social de la SNC, qui était l’exploitation d’hôtels, et dont l’activité principale consistait à louer l’immeuble correspondant à l’hôtel B _________. L’on observe également que la recourante et ses frères avaient le contrôle absolu des deux entités. Ils étaient en effet les seuls associés de SNC E _________ et détenaient l’intégralité du capital-actions de H _________ SA par le biais de la SNC. C’est donc en vain que la recourante tente de démontrer qu’il n’y avait pas de lien commercial étroit entre les deux sociétés, hormis la facturation d’un loyer. Au demeurant, il est vraisemblable que la recourante et ses frères n’auraient pas attribué la quasi-totalité du capital-actions de H _________ SA à la SNC mais l’auraient détenu à titre personnel, s’ils avaient considéré ces titres comme des éléments de leur fortune privée. Avec l’autorité intimée,</w:t>
      </w:r>
    </w:p>
    <w:p>
      <w:r>
        <w:t>- 12 - le Tribunal relève que la SNC détenait également des participations dans d’autres sociétés de capitaux qui poursuivaient des buts touristiques, ce qui corrobore encore le caractère commercial de son activité principale. La recourante estime enfin que le transfert de l’exploitation de l’activité indépendante à la SA constituée en 2006 doit être considéré comme une restructuration dont les réserves latentes ne sont pas imposées si les droits de participation ne sont pas vendus dans les cinq ans (cf. art. 19 al. 1 et 2 LIFD). Il convient à cet égard de confirmer le point de vue de l’autorité intimée, selon lequel cette disposition n’est pas applicable en l’espèce. En effet, la recourante n’a notamment pas établi ni même allégué que H _________ SA avait procédé à la reprise d’éléments commerciaux de l’entreprise individuelle (cf. OBERSON/GLAUSER, in : NOËL/AUBRY GIRARDIN (édit.), Commentaire romand, Impôt fédéral direct, 2ème éd. 2017, n° 17 ad art. 19 LIFD). Partant, c’est à bon droit que l’autorité intimée a considéré les actions H _________ SA comme un élément de la fortune commerciale de la recourante, en soumettant le bénéfice tiré de leur vente à l’impôt sur le revenu (art. 18 al. 2 LIFD). 3.6.3 En définitive, le gain réalisé par la vente des actifs de la SNC E _________ doit être considéré comme un bénéfice commercial en capital imposable sur le revenu, tant s’agissant de l’immeuble sis à D _________ que des actions H _________ SA. Le recours doit donc être rejeté en tant qu’il concerne l’impôt fédéral direct. III. Impôts cantonaux et communaux</w:t>
      </w:r>
    </w:p>
    <w:p>
      <w:r>
        <w:rPr>
          <w:b/>
        </w:rPr>
        <w:t>E. 4</w:t>
      </w:r>
    </w:p>
    <w:p>
      <w:r>
        <w:t>Les principes juridiques précités qui concernent l’assujettissement à l'impôt fondé sur le rattachement économique (cf. supra consid. 2) trouvent leur parallèle en matière d’impôts cantonaux et communaux (art. 4 al. 1 LHID ; art. 3 al. 1 LF ; arrêt du Tribunal fédéral 2C_888/2014 et 2C_889/2014 précité consid. 8). De même, la jurisprudence rendue en matière d'impôt fédéral direct au sujet de la distinction entre un bénéfice provenant de l'exercice d'une activité lucrative indépendante et un gain privé en capital est également pertinente en ce qui concerne les impôts cantonaux et communaux, puisque l’art. 8 al. 1 et 2 LHID, repris à l’art. 14 al. 2 LF, correspond à l’art. 18 al. 2 LIFD (cf. arrêt du Tribunal fédéral 9C_81/2023 du 18 septembre 2023 consid. 7). Les art. 7 al. 1 et 12 al. 3 LF correspondent par ailleurs aux art. 10 al. 1 et 16 al. 3 LIFD. Il peut ainsi être renvoyé à la motivation développée en matière d'impôt fédéral direct.</w:t>
      </w:r>
    </w:p>
    <w:p>
      <w:r>
        <w:rPr>
          <w:b/>
        </w:rPr>
        <w:t>E. 5</w:t>
      </w:r>
    </w:p>
    <w:p>
      <w:r>
        <w:t>Partant, le recours doit aussi être rejeté en tant qu'il concerne les impôts cantonaux et communaux.</w:t>
      </w:r>
    </w:p>
    <w:p>
      <w:r>
        <w:t>- 13 - IV. Conclusion, frais et dépens</w:t>
      </w:r>
    </w:p>
    <w:p>
      <w:r>
        <w:rPr>
          <w:b/>
        </w:rPr>
        <w:t>E. 6</w:t>
      </w:r>
    </w:p>
    <w:p>
      <w:r>
        <w:t>Les considérants qui précèdent conduisent au rejet du recours (art. 150 al. 3 LF ; art. 80 al. 1 let. e et 60 al. 1 LPJA).</w:t>
      </w:r>
    </w:p>
    <w:p>
      <w:r>
        <w:rPr>
          <w:b/>
        </w:rPr>
        <w:t>E. 7</w:t>
      </w:r>
    </w:p>
    <w:p>
      <w:r>
        <w:t>Les frais de la cause, fixés principalement sur le vu des principes de la couverture des frais et de l’équivalence des prestations, à 1500 fr., sont mis solidairement à la charge des recourants, qui succombent et n’ont pas droit à des dépens (art. 144 LIFD, art. 8 LALIFD ; art. 150 al. 3 LF ; art. 88 al. 2,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